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98" w:rsidRPr="003D0A98" w:rsidRDefault="003D0A98" w:rsidP="003D0A98">
      <w:pPr>
        <w:rPr>
          <w:rFonts w:cstheme="minorHAnsi"/>
          <w:caps/>
          <w:sz w:val="40"/>
          <w:szCs w:val="40"/>
        </w:rPr>
      </w:pPr>
      <w:bookmarkStart w:id="0" w:name="_Toc308106902"/>
      <w:r w:rsidRPr="003D0A98">
        <w:rPr>
          <w:rFonts w:cstheme="minorHAnsi"/>
          <w:caps/>
          <w:sz w:val="40"/>
          <w:szCs w:val="40"/>
        </w:rPr>
        <w:t xml:space="preserve">A robbanáshatár-görbe </w:t>
      </w:r>
      <w:proofErr w:type="gramStart"/>
      <w:r w:rsidRPr="003D0A98">
        <w:rPr>
          <w:rFonts w:cstheme="minorHAnsi"/>
          <w:caps/>
          <w:sz w:val="40"/>
          <w:szCs w:val="40"/>
        </w:rPr>
        <w:t>és</w:t>
      </w:r>
      <w:proofErr w:type="gramEnd"/>
      <w:r w:rsidRPr="003D0A98">
        <w:rPr>
          <w:rFonts w:cstheme="minorHAnsi"/>
          <w:caps/>
          <w:sz w:val="40"/>
          <w:szCs w:val="40"/>
        </w:rPr>
        <w:t xml:space="preserve"> jellemzői</w:t>
      </w:r>
      <w:bookmarkEnd w:id="0"/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Az általunk vizsgált rendszerek háromkomponensűeknek tekinthetőek, általánosan éghetőgáz,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és 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komponenseket tartalmaznak. A háromkomponensű rendszerként való kezelést akkor is alkalmazzák, ha az 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levegő, esetleg az inertgáz-komponens két gáz meghatározott összetételű keveréke, mint pl. a szénmonoxid/(nitrogén + vízgőz)/levegő, vagy a szénmonoxid/(argon + vízgőz)/levegő rendszerek esetében. A rendszereket leíró adatok az éghetőgáz, az 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és az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arányát leíró </w:t>
      </w:r>
      <w:proofErr w:type="spellStart"/>
      <w:r>
        <w:rPr>
          <w:rFonts w:ascii="Calibri" w:eastAsia="Calibri" w:hAnsi="Calibri" w:cs="Times New Roman"/>
        </w:rPr>
        <w:t>móltörtek</w:t>
      </w:r>
      <w:proofErr w:type="spellEnd"/>
      <w:r>
        <w:rPr>
          <w:rFonts w:ascii="Calibri" w:eastAsia="Calibri" w:hAnsi="Calibri" w:cs="Times New Roman"/>
        </w:rPr>
        <w:t xml:space="preserve">, valamint a kezdeti hőmérséklet és nyomás. Általában </w:t>
      </w:r>
      <w:proofErr w:type="spellStart"/>
      <w:r>
        <w:rPr>
          <w:rFonts w:ascii="Calibri" w:eastAsia="Calibri" w:hAnsi="Calibri" w:cs="Times New Roman"/>
        </w:rPr>
        <w:t>izoterm</w:t>
      </w:r>
      <w:proofErr w:type="spellEnd"/>
      <w:r>
        <w:rPr>
          <w:rFonts w:ascii="Calibri" w:eastAsia="Calibri" w:hAnsi="Calibri" w:cs="Times New Roman"/>
        </w:rPr>
        <w:t xml:space="preserve"> vagy izobár kísérletsorozatok elvégzésével határozható meg a robbanási tartomány, amelyen belüli éghetőgáz/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>/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arányok robbanásveszélyesek, e tartományon kívül eső gázkeverék arányoknál pedig a gázelegy </w:t>
      </w:r>
      <w:proofErr w:type="spellStart"/>
      <w:r>
        <w:rPr>
          <w:rFonts w:ascii="Calibri" w:eastAsia="Calibri" w:hAnsi="Calibri" w:cs="Times New Roman"/>
        </w:rPr>
        <w:t>robbanásbiztos</w:t>
      </w:r>
      <w:proofErr w:type="spellEnd"/>
      <w:r>
        <w:rPr>
          <w:rFonts w:ascii="Calibri" w:eastAsia="Calibri" w:hAnsi="Calibri" w:cs="Times New Roman"/>
        </w:rPr>
        <w:t xml:space="preserve">. Az </w:t>
      </w:r>
      <w:proofErr w:type="spellStart"/>
      <w:r>
        <w:rPr>
          <w:rFonts w:ascii="Calibri" w:eastAsia="Calibri" w:hAnsi="Calibri" w:cs="Times New Roman"/>
        </w:rPr>
        <w:t>izoterm</w:t>
      </w:r>
      <w:proofErr w:type="spellEnd"/>
      <w:r>
        <w:rPr>
          <w:rFonts w:ascii="Calibri" w:eastAsia="Calibri" w:hAnsi="Calibri" w:cs="Times New Roman"/>
        </w:rPr>
        <w:t xml:space="preserve"> és izobár robbanási tartományok ipari felhasználásánál a robbanási határgörbe segítségével célszerűen megválasztott jellemző pontokat és értékeket határoznak meg, amelyek megadásához a robbanási tartományt határoló síkgörbe megfelelő pontosságú leírása szükséges. 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 továbbiakban áttekintést adunk az </w:t>
      </w:r>
      <w:proofErr w:type="spellStart"/>
      <w:r>
        <w:rPr>
          <w:rFonts w:ascii="Calibri" w:eastAsia="Calibri" w:hAnsi="Calibri" w:cs="Times New Roman"/>
        </w:rPr>
        <w:t>izoterm</w:t>
      </w:r>
      <w:proofErr w:type="spellEnd"/>
      <w:r>
        <w:rPr>
          <w:rFonts w:ascii="Calibri" w:eastAsia="Calibri" w:hAnsi="Calibri" w:cs="Times New Roman"/>
        </w:rPr>
        <w:t xml:space="preserve"> és izobár </w:t>
      </w:r>
      <w:proofErr w:type="spellStart"/>
      <w:r>
        <w:rPr>
          <w:rFonts w:ascii="Calibri" w:eastAsia="Calibri" w:hAnsi="Calibri" w:cs="Times New Roman"/>
        </w:rPr>
        <w:t>terner</w:t>
      </w:r>
      <w:proofErr w:type="spellEnd"/>
      <w:r>
        <w:rPr>
          <w:rFonts w:ascii="Calibri" w:eastAsia="Calibri" w:hAnsi="Calibri" w:cs="Times New Roman"/>
        </w:rPr>
        <w:t xml:space="preserve"> gázelegyek összetételét leíró derékszögű és szabályos háromszögdiagram felépítéséről, majd definiáljuk a robbanási tartomány alapján meghatározott jellemzőket. Végül a gyakorlatban is alkalmazott interpolációs módszereket mutatjuk be, amelyek segítségével a mért pontokra a robbanási határgörbe illeszthető.</w:t>
      </w:r>
    </w:p>
    <w:p w:rsidR="003D0A98" w:rsidRPr="003D0A98" w:rsidRDefault="003D0A98" w:rsidP="003D0A98">
      <w:pPr>
        <w:rPr>
          <w:rFonts w:cstheme="minorHAnsi"/>
          <w:caps/>
          <w:sz w:val="32"/>
          <w:szCs w:val="32"/>
        </w:rPr>
      </w:pPr>
      <w:bookmarkStart w:id="1" w:name="_Toc308106903"/>
      <w:r w:rsidRPr="003D0A98">
        <w:rPr>
          <w:rFonts w:cstheme="minorHAnsi"/>
          <w:caps/>
          <w:sz w:val="32"/>
          <w:szCs w:val="32"/>
        </w:rPr>
        <w:t>Terner gázelegyek ábrázolása</w:t>
      </w:r>
      <w:bookmarkEnd w:id="1"/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 három </w:t>
      </w:r>
      <w:proofErr w:type="gramStart"/>
      <w:r>
        <w:rPr>
          <w:rFonts w:ascii="Calibri" w:eastAsia="Calibri" w:hAnsi="Calibri" w:cs="Times New Roman"/>
        </w:rPr>
        <w:t>komponens különböző</w:t>
      </w:r>
      <w:proofErr w:type="gramEnd"/>
      <w:r>
        <w:rPr>
          <w:rFonts w:ascii="Calibri" w:eastAsia="Calibri" w:hAnsi="Calibri" w:cs="Times New Roman"/>
        </w:rPr>
        <w:t xml:space="preserve"> koncentráció-arány állapotainak ábrázolása a harmadik </w:t>
      </w:r>
      <w:proofErr w:type="spellStart"/>
      <w:r>
        <w:rPr>
          <w:rFonts w:ascii="Calibri" w:eastAsia="Calibri" w:hAnsi="Calibri" w:cs="Times New Roman"/>
        </w:rPr>
        <w:t>móltört</w:t>
      </w:r>
      <w:proofErr w:type="spellEnd"/>
      <w:r>
        <w:rPr>
          <w:rFonts w:ascii="Calibri" w:eastAsia="Calibri" w:hAnsi="Calibri" w:cs="Times New Roman"/>
        </w:rPr>
        <w:t xml:space="preserve"> </w:t>
      </w:r>
      <w:r w:rsidRPr="00DF3D38">
        <w:rPr>
          <w:rFonts w:ascii="Calibri" w:eastAsia="Calibri" w:hAnsi="Calibri" w:cs="Times New Roman"/>
          <w:i/>
        </w:rPr>
        <w:t>(x</w:t>
      </w:r>
      <w:r w:rsidRPr="00DF3D38">
        <w:rPr>
          <w:rFonts w:ascii="Calibri" w:eastAsia="Calibri" w:hAnsi="Calibri" w:cs="Times New Roman"/>
          <w:i/>
          <w:vertAlign w:val="subscript"/>
        </w:rPr>
        <w:t>3</w:t>
      </w:r>
      <w:r w:rsidRPr="00DF3D38">
        <w:rPr>
          <w:rFonts w:ascii="Calibri" w:eastAsia="Calibri" w:hAnsi="Calibri" w:cs="Times New Roman"/>
          <w:i/>
        </w:rPr>
        <w:t>=1-x</w:t>
      </w:r>
      <w:r w:rsidRPr="00DF3D38">
        <w:rPr>
          <w:rFonts w:ascii="Calibri" w:eastAsia="Calibri" w:hAnsi="Calibri" w:cs="Times New Roman"/>
          <w:i/>
          <w:vertAlign w:val="subscript"/>
        </w:rPr>
        <w:t>1</w:t>
      </w:r>
      <w:r w:rsidRPr="00DF3D38">
        <w:rPr>
          <w:rFonts w:ascii="Calibri" w:eastAsia="Calibri" w:hAnsi="Calibri" w:cs="Times New Roman"/>
          <w:i/>
        </w:rPr>
        <w:t>-x</w:t>
      </w:r>
      <w:r w:rsidRPr="00DF3D38">
        <w:rPr>
          <w:rFonts w:ascii="Calibri" w:eastAsia="Calibri" w:hAnsi="Calibri" w:cs="Times New Roman"/>
          <w:i/>
          <w:vertAlign w:val="subscript"/>
        </w:rPr>
        <w:t>2</w:t>
      </w:r>
      <w:r w:rsidRPr="00DF3D38">
        <w:rPr>
          <w:rFonts w:ascii="Calibri" w:eastAsia="Calibri" w:hAnsi="Calibri" w:cs="Times New Roman"/>
          <w:i/>
        </w:rPr>
        <w:t>)</w:t>
      </w:r>
      <w:r>
        <w:rPr>
          <w:rFonts w:ascii="Calibri" w:eastAsia="Calibri" w:hAnsi="Calibri" w:cs="Times New Roman"/>
        </w:rPr>
        <w:t xml:space="preserve"> függése miatt síkban történik – vagy a derékszögű koordinátarendszerben megadott </w:t>
      </w:r>
      <w:proofErr w:type="spellStart"/>
      <w:r>
        <w:rPr>
          <w:rFonts w:ascii="Calibri" w:eastAsia="Calibri" w:hAnsi="Calibri" w:cs="Times New Roman"/>
        </w:rPr>
        <w:t>alapszimplexen</w:t>
      </w:r>
      <w:proofErr w:type="spellEnd"/>
      <w:r>
        <w:rPr>
          <w:rFonts w:ascii="Calibri" w:eastAsia="Calibri" w:hAnsi="Calibri" w:cs="Times New Roman"/>
        </w:rPr>
        <w:t xml:space="preserve">, vagy pedig szabályos háromszögön, ahol minden egyes komponensnek a háromszög </w:t>
      </w:r>
      <w:proofErr w:type="gramStart"/>
      <w:r>
        <w:rPr>
          <w:rFonts w:ascii="Calibri" w:eastAsia="Calibri" w:hAnsi="Calibri" w:cs="Times New Roman"/>
        </w:rPr>
        <w:t>egy-egy</w:t>
      </w:r>
      <w:proofErr w:type="gramEnd"/>
      <w:r>
        <w:rPr>
          <w:rFonts w:ascii="Calibri" w:eastAsia="Calibri" w:hAnsi="Calibri" w:cs="Times New Roman"/>
        </w:rPr>
        <w:t xml:space="preserve"> csúcsa felel meg, az oldalakon pedig a kétkomponensű rendszerek összetétele olvasható le.</w:t>
      </w:r>
    </w:p>
    <w:p w:rsidR="003D0A98" w:rsidRPr="00580441" w:rsidRDefault="003D0A98" w:rsidP="003D0A98">
      <w:pPr>
        <w:jc w:val="center"/>
        <w:rPr>
          <w:rFonts w:ascii="Calibri" w:eastAsia="Calibri" w:hAnsi="Calibri" w:cs="Times New Roman"/>
        </w:rPr>
      </w:pPr>
    </w:p>
    <w:p w:rsidR="003D0A98" w:rsidRPr="00D21882" w:rsidRDefault="003D0A98" w:rsidP="003D0A98">
      <w:pPr>
        <w:pStyle w:val="Kpalrs"/>
        <w:ind w:left="720"/>
        <w:jc w:val="center"/>
        <w:rPr>
          <w:b w:val="0"/>
        </w:rPr>
      </w:pPr>
      <w:bookmarkStart w:id="2" w:name="_Toc308106910"/>
      <w:r w:rsidRPr="00A33F80">
        <w:rPr>
          <w:b w:val="0"/>
          <w:highlight w:val="magenta"/>
        </w:rPr>
        <w:t>1.</w:t>
      </w:r>
      <w:r w:rsidR="000F53BD" w:rsidRPr="00A33F80">
        <w:rPr>
          <w:b w:val="0"/>
          <w:highlight w:val="magenta"/>
        </w:rPr>
        <w:t xml:space="preserve"> </w:t>
      </w:r>
      <w:r w:rsidRPr="00A33F80">
        <w:rPr>
          <w:b w:val="0"/>
          <w:highlight w:val="magenta"/>
        </w:rPr>
        <w:t>ábra</w:t>
      </w:r>
      <w:r w:rsidRPr="00D21882">
        <w:rPr>
          <w:b w:val="0"/>
        </w:rPr>
        <w:t>: Derékszögű diagram</w:t>
      </w:r>
      <w:bookmarkEnd w:id="2"/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Az </w:t>
      </w:r>
      <w:r w:rsidRPr="000F53BD">
        <w:rPr>
          <w:rFonts w:ascii="Calibri" w:eastAsia="Calibri" w:hAnsi="Calibri" w:cs="Times New Roman"/>
          <w:highlight w:val="yellow"/>
        </w:rPr>
        <w:t>1. ábra</w:t>
      </w:r>
      <w:r>
        <w:rPr>
          <w:rFonts w:ascii="Calibri" w:eastAsia="Calibri" w:hAnsi="Calibri" w:cs="Times New Roman"/>
        </w:rPr>
        <w:t xml:space="preserve"> egy robbanási tartomány derékszögű diagramban való ábrázolását mutatja be. A diagram függőleges tengelyéről az éghetőgáz, vízszintes tengelyéről pedig az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koncentrációt lehet leolvasni. A harmadik, </w:t>
      </w:r>
      <w:proofErr w:type="spellStart"/>
      <w:r>
        <w:rPr>
          <w:rFonts w:ascii="Calibri" w:eastAsia="Calibri" w:hAnsi="Calibri" w:cs="Times New Roman"/>
        </w:rPr>
        <w:t>oxidátor-</w:t>
      </w:r>
      <w:proofErr w:type="spellEnd"/>
      <w:r>
        <w:rPr>
          <w:rFonts w:ascii="Calibri" w:eastAsia="Calibri" w:hAnsi="Calibri" w:cs="Times New Roman"/>
        </w:rPr>
        <w:t xml:space="preserve"> (a konkrét esetben levegő-) koncentráció az előbbi kettő ismeretében kiszámítható. A szürkével kitöltött terület a robbanásveszélyes tartomány, az ezen kívül eső területen a három komponens nem alkot robbanó elegyet. A robbanásveszélyes tartományt határoló</w:t>
      </w:r>
      <w:r w:rsidRPr="00123DAD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kék színű görbe a robbanáshatár-görbe, amelyen a piros háromszögek mért pontokat jelölnek, a görbe többi pontját interpolációval határozzák meg. A robbanási tartományt jellemző berajzolt egyenesek jelentését a későbbiekben ismertetjük.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 </w:t>
      </w:r>
      <w:r w:rsidRPr="000F53BD">
        <w:rPr>
          <w:rFonts w:ascii="Calibri" w:eastAsia="Calibri" w:hAnsi="Calibri" w:cs="Times New Roman"/>
          <w:highlight w:val="yellow"/>
        </w:rPr>
        <w:t>2. ábra</w:t>
      </w:r>
      <w:r>
        <w:rPr>
          <w:rFonts w:ascii="Calibri" w:eastAsia="Calibri" w:hAnsi="Calibri" w:cs="Times New Roman"/>
        </w:rPr>
        <w:t xml:space="preserve"> ugyanezt a robbanási tartományt mutatja szabályos háromszög diagramon. Ez az ábrázolási mód közvetlen lehetőséget biztosít a harmadik komponens százalékos értékének leolvasására.</w:t>
      </w:r>
    </w:p>
    <w:p w:rsidR="003D0A98" w:rsidRPr="00580441" w:rsidRDefault="003D0A98" w:rsidP="003D0A98">
      <w:pPr>
        <w:jc w:val="center"/>
        <w:rPr>
          <w:rFonts w:ascii="Calibri" w:eastAsia="Calibri" w:hAnsi="Calibri" w:cs="Times New Roman"/>
        </w:rPr>
      </w:pPr>
    </w:p>
    <w:p w:rsidR="003D0A98" w:rsidRPr="00D21882" w:rsidRDefault="003D0A98" w:rsidP="003D0A98">
      <w:pPr>
        <w:pStyle w:val="Kpalrs"/>
        <w:spacing w:after="120" w:line="240" w:lineRule="auto"/>
        <w:jc w:val="center"/>
        <w:rPr>
          <w:b w:val="0"/>
        </w:rPr>
      </w:pPr>
      <w:bookmarkStart w:id="3" w:name="_Toc308106911"/>
      <w:r w:rsidRPr="00A33F80">
        <w:rPr>
          <w:b w:val="0"/>
          <w:highlight w:val="magenta"/>
        </w:rPr>
        <w:t>2.</w:t>
      </w:r>
      <w:r w:rsidR="000F53BD" w:rsidRPr="00A33F80">
        <w:rPr>
          <w:b w:val="0"/>
          <w:highlight w:val="magenta"/>
        </w:rPr>
        <w:t xml:space="preserve"> </w:t>
      </w:r>
      <w:r w:rsidRPr="00A33F80">
        <w:rPr>
          <w:b w:val="0"/>
          <w:highlight w:val="magenta"/>
        </w:rPr>
        <w:t>ábra</w:t>
      </w:r>
      <w:r w:rsidRPr="00D21882">
        <w:rPr>
          <w:b w:val="0"/>
        </w:rPr>
        <w:t>: Szabályos háromszög diagram</w:t>
      </w:r>
      <w:bookmarkEnd w:id="3"/>
    </w:p>
    <w:p w:rsidR="003D0A98" w:rsidRPr="003D0A98" w:rsidRDefault="003D0A98" w:rsidP="003D0A98">
      <w:pPr>
        <w:rPr>
          <w:rFonts w:cstheme="minorHAnsi"/>
          <w:caps/>
          <w:sz w:val="32"/>
          <w:szCs w:val="32"/>
        </w:rPr>
      </w:pPr>
      <w:bookmarkStart w:id="4" w:name="_Ref16472174"/>
      <w:bookmarkStart w:id="5" w:name="_Toc308106904"/>
      <w:r w:rsidRPr="003D0A98">
        <w:rPr>
          <w:rFonts w:cstheme="minorHAnsi"/>
          <w:caps/>
          <w:sz w:val="32"/>
          <w:szCs w:val="32"/>
        </w:rPr>
        <w:t>Robbanási határgörbe jellemző értékei</w:t>
      </w:r>
      <w:bookmarkEnd w:id="4"/>
      <w:bookmarkEnd w:id="5"/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robbanási határgörbe pontos ismerete fontos, de a gyakorlati alkalmazások során sokszor hatékonyabb egy-egy numerikus korlát, jellemző érték ismerete. A robbanási határgörbéket három limitáló aránnyal és ezekhez tartozó határoló-értékekkel szokták jellemezni</w:t>
      </w:r>
      <w:r w:rsidR="000F53BD">
        <w:rPr>
          <w:rFonts w:ascii="Calibri" w:eastAsia="Calibri" w:hAnsi="Calibri" w:cs="Times New Roman"/>
        </w:rPr>
        <w:t xml:space="preserve"> [</w:t>
      </w:r>
      <w:r w:rsidR="000F53BD" w:rsidRPr="000F53BD">
        <w:rPr>
          <w:rFonts w:ascii="Calibri" w:eastAsia="Calibri" w:hAnsi="Calibri" w:cs="Times New Roman"/>
          <w:highlight w:val="cyan"/>
        </w:rPr>
        <w:t>1, 2, 4</w:t>
      </w:r>
      <w:r>
        <w:rPr>
          <w:rFonts w:ascii="Calibri" w:eastAsia="Calibri" w:hAnsi="Calibri" w:cs="Times New Roman"/>
        </w:rPr>
        <w:t xml:space="preserve">], ezeket ismertetjük az alábbiakban. Pontosabb megértésükhöz segítséget nyújt az </w:t>
      </w:r>
      <w:r w:rsidRPr="000F53BD">
        <w:rPr>
          <w:rFonts w:ascii="Calibri" w:eastAsia="Calibri" w:hAnsi="Calibri" w:cs="Times New Roman"/>
          <w:highlight w:val="yellow"/>
        </w:rPr>
        <w:t>1. ábra</w:t>
      </w:r>
      <w:r>
        <w:rPr>
          <w:rFonts w:ascii="Calibri" w:eastAsia="Calibri" w:hAnsi="Calibri" w:cs="Times New Roman"/>
        </w:rPr>
        <w:t xml:space="preserve"> és a </w:t>
      </w:r>
      <w:r w:rsidRPr="000F53BD">
        <w:rPr>
          <w:rFonts w:ascii="Calibri" w:eastAsia="Calibri" w:hAnsi="Calibri" w:cs="Times New Roman"/>
          <w:highlight w:val="yellow"/>
        </w:rPr>
        <w:t>2. ábra</w:t>
      </w:r>
      <w:r>
        <w:rPr>
          <w:rFonts w:ascii="Calibri" w:eastAsia="Calibri" w:hAnsi="Calibri" w:cs="Times New Roman"/>
        </w:rPr>
        <w:t>.</w:t>
      </w:r>
    </w:p>
    <w:p w:rsidR="003D0A98" w:rsidRPr="00672D1F" w:rsidRDefault="003D0A98" w:rsidP="003D0A98">
      <w:pPr>
        <w:spacing w:before="120" w:after="80"/>
        <w:rPr>
          <w:rFonts w:ascii="Calibri" w:eastAsia="Calibri" w:hAnsi="Calibri" w:cs="Times New Roman"/>
          <w:b/>
          <w:sz w:val="28"/>
          <w:szCs w:val="28"/>
        </w:rPr>
      </w:pPr>
      <w:r w:rsidRPr="00672D1F">
        <w:rPr>
          <w:rFonts w:ascii="Calibri" w:eastAsia="Calibri" w:hAnsi="Calibri" w:cs="Times New Roman"/>
          <w:b/>
          <w:sz w:val="28"/>
          <w:szCs w:val="28"/>
        </w:rPr>
        <w:lastRenderedPageBreak/>
        <w:t>Minimális inertgáz-éghetőgáz arány (ICR)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28011F">
        <w:rPr>
          <w:rFonts w:ascii="Calibri" w:eastAsia="Calibri" w:hAnsi="Calibri" w:cs="Times New Roman"/>
        </w:rPr>
        <w:t>Az</w:t>
      </w:r>
      <w:r>
        <w:rPr>
          <w:rFonts w:ascii="Calibri" w:eastAsia="Calibri" w:hAnsi="Calibri" w:cs="Times New Roman"/>
        </w:rPr>
        <w:t xml:space="preserve"> </w:t>
      </w:r>
      <w:r w:rsidRPr="00A86254">
        <w:rPr>
          <w:rFonts w:ascii="Calibri" w:eastAsia="Calibri" w:hAnsi="Calibri" w:cs="Times New Roman"/>
          <w:b/>
        </w:rPr>
        <w:t>ICR</w:t>
      </w:r>
      <w:r>
        <w:rPr>
          <w:rFonts w:ascii="Calibri" w:eastAsia="Calibri" w:hAnsi="Calibri" w:cs="Times New Roman"/>
        </w:rPr>
        <w:t xml:space="preserve"> (Inert </w:t>
      </w:r>
      <w:proofErr w:type="spellStart"/>
      <w:r>
        <w:rPr>
          <w:rFonts w:ascii="Calibri" w:eastAsia="Calibri" w:hAnsi="Calibri" w:cs="Times New Roman"/>
        </w:rPr>
        <w:t>gas</w:t>
      </w:r>
      <w:proofErr w:type="spellEnd"/>
      <w:r>
        <w:rPr>
          <w:rFonts w:ascii="Calibri" w:eastAsia="Calibri" w:hAnsi="Calibri" w:cs="Times New Roman"/>
        </w:rPr>
        <w:t>/</w:t>
      </w:r>
      <w:proofErr w:type="spellStart"/>
      <w:r>
        <w:rPr>
          <w:rFonts w:ascii="Calibri" w:eastAsia="Calibri" w:hAnsi="Calibri" w:cs="Times New Roman"/>
        </w:rPr>
        <w:t>Combustible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gas</w:t>
      </w:r>
      <w:proofErr w:type="spellEnd"/>
      <w:r>
        <w:rPr>
          <w:rFonts w:ascii="Calibri" w:eastAsia="Calibri" w:hAnsi="Calibri" w:cs="Times New Roman"/>
        </w:rPr>
        <w:t xml:space="preserve"> Ratio) egyenes egy </w:t>
      </w:r>
      <w:r w:rsidRPr="0028011F">
        <w:rPr>
          <w:rFonts w:ascii="Calibri" w:eastAsia="Calibri" w:hAnsi="Calibri" w:cs="Times New Roman"/>
          <w:b/>
        </w:rPr>
        <w:t>olyan arány-korlátot jelent</w:t>
      </w:r>
      <w:r>
        <w:rPr>
          <w:rFonts w:ascii="Calibri" w:eastAsia="Calibri" w:hAnsi="Calibri" w:cs="Times New Roman"/>
        </w:rPr>
        <w:t xml:space="preserve"> az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és éghetőgáz között, </w:t>
      </w:r>
      <w:r w:rsidRPr="0028011F">
        <w:rPr>
          <w:rFonts w:ascii="Calibri" w:eastAsia="Calibri" w:hAnsi="Calibri" w:cs="Times New Roman"/>
          <w:b/>
        </w:rPr>
        <w:t>amely esetén</w:t>
      </w:r>
      <w:r>
        <w:rPr>
          <w:rFonts w:ascii="Calibri" w:eastAsia="Calibri" w:hAnsi="Calibri" w:cs="Times New Roman"/>
        </w:rPr>
        <w:t xml:space="preserve"> </w:t>
      </w:r>
      <w:r w:rsidRPr="00A86254">
        <w:rPr>
          <w:rFonts w:ascii="Calibri" w:eastAsia="Calibri" w:hAnsi="Calibri" w:cs="Times New Roman"/>
          <w:b/>
        </w:rPr>
        <w:t xml:space="preserve">további </w:t>
      </w:r>
      <w:proofErr w:type="spellStart"/>
      <w:r w:rsidRPr="0028011F">
        <w:rPr>
          <w:rFonts w:ascii="Calibri" w:eastAsia="Calibri" w:hAnsi="Calibri" w:cs="Times New Roman"/>
          <w:b/>
          <w:i/>
        </w:rPr>
        <w:t>oxidátor</w:t>
      </w:r>
      <w:proofErr w:type="spellEnd"/>
      <w:r w:rsidRPr="00A86254">
        <w:rPr>
          <w:rFonts w:ascii="Calibri" w:eastAsia="Calibri" w:hAnsi="Calibri" w:cs="Times New Roman"/>
          <w:b/>
        </w:rPr>
        <w:t xml:space="preserve"> hozzáadása már nem okozhat robbanást</w:t>
      </w:r>
      <w:r>
        <w:rPr>
          <w:rFonts w:ascii="Calibri" w:eastAsia="Calibri" w:hAnsi="Calibri" w:cs="Times New Roman"/>
        </w:rPr>
        <w:t>.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Az ICR egyenes meghatározása a nyomással és hőmérséklettel paraméterezett robbanáshatár-görbéhez a háromszögdiagram </w:t>
      </w:r>
      <w:proofErr w:type="spellStart"/>
      <w:r>
        <w:rPr>
          <w:rFonts w:ascii="Calibri" w:eastAsia="Calibri" w:hAnsi="Calibri" w:cs="Times New Roman"/>
        </w:rPr>
        <w:t>oxidátor-csúcsán</w:t>
      </w:r>
      <w:proofErr w:type="spellEnd"/>
      <w:r>
        <w:rPr>
          <w:rFonts w:ascii="Calibri" w:eastAsia="Calibri" w:hAnsi="Calibri" w:cs="Times New Roman"/>
        </w:rPr>
        <w:t xml:space="preserve"> keresztülhaladó érintő megadását jelenti. Erre a vonalra esnek azok az összetételek, amelyek úgy kaphatóak, hogy az érintő pontban lévő elegyhez egyre nagyobb mennyiségű </w:t>
      </w:r>
      <w:proofErr w:type="spellStart"/>
      <w:r>
        <w:rPr>
          <w:rFonts w:ascii="Calibri" w:eastAsia="Calibri" w:hAnsi="Calibri" w:cs="Times New Roman"/>
        </w:rPr>
        <w:t>oxidátort</w:t>
      </w:r>
      <w:proofErr w:type="spellEnd"/>
      <w:r>
        <w:rPr>
          <w:rFonts w:ascii="Calibri" w:eastAsia="Calibri" w:hAnsi="Calibri" w:cs="Times New Roman"/>
        </w:rPr>
        <w:t xml:space="preserve"> kevernek, így aszimptotikusan közeledve a diagram csúcsához.</w:t>
      </w:r>
    </w:p>
    <w:p w:rsidR="003D0A98" w:rsidRPr="00672D1F" w:rsidRDefault="003D0A98" w:rsidP="003D0A98">
      <w:pPr>
        <w:spacing w:before="120" w:after="80"/>
        <w:rPr>
          <w:rFonts w:ascii="Calibri" w:eastAsia="Calibri" w:hAnsi="Calibri" w:cs="Times New Roman"/>
          <w:b/>
          <w:sz w:val="28"/>
          <w:szCs w:val="28"/>
        </w:rPr>
      </w:pPr>
      <w:r w:rsidRPr="00672D1F">
        <w:rPr>
          <w:rFonts w:ascii="Calibri" w:eastAsia="Calibri" w:hAnsi="Calibri" w:cs="Times New Roman"/>
          <w:b/>
          <w:sz w:val="28"/>
          <w:szCs w:val="28"/>
        </w:rPr>
        <w:t>Maximálisan megengedhető éghetőgáz (MXC)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Ha az ICR érintőt a háromszög diagram inertgáz-éghetőgáz </w:t>
      </w:r>
      <w:proofErr w:type="spellStart"/>
      <w:r>
        <w:rPr>
          <w:rFonts w:ascii="Calibri" w:eastAsia="Calibri" w:hAnsi="Calibri" w:cs="Times New Roman"/>
        </w:rPr>
        <w:t>biner</w:t>
      </w:r>
      <w:proofErr w:type="spellEnd"/>
      <w:r>
        <w:rPr>
          <w:rFonts w:ascii="Calibri" w:eastAsia="Calibri" w:hAnsi="Calibri" w:cs="Times New Roman"/>
        </w:rPr>
        <w:t xml:space="preserve"> oldaláig meghosszabbítjuk, a metszéspontban kapjuk az MXC (Maximum </w:t>
      </w:r>
      <w:proofErr w:type="spellStart"/>
      <w:r>
        <w:rPr>
          <w:rFonts w:ascii="Calibri" w:eastAsia="Calibri" w:hAnsi="Calibri" w:cs="Times New Roman"/>
        </w:rPr>
        <w:t>Combustible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gas</w:t>
      </w:r>
      <w:proofErr w:type="spellEnd"/>
      <w:r>
        <w:rPr>
          <w:rFonts w:ascii="Calibri" w:eastAsia="Calibri" w:hAnsi="Calibri" w:cs="Times New Roman"/>
        </w:rPr>
        <w:t>) pontot. Ez az éghetőgáz/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keveréknek azon maximális éghetőgáz koncentrációja, amelyhez további 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hozzáadása már nem okozhat robbanást.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 robbanáshatár-görbe az ICR határvonalnak a háromszög </w:t>
      </w:r>
      <w:proofErr w:type="spellStart"/>
      <w:r>
        <w:rPr>
          <w:rFonts w:ascii="Calibri" w:eastAsia="Calibri" w:hAnsi="Calibri" w:cs="Times New Roman"/>
        </w:rPr>
        <w:t>oxidátor-inertgáz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biner</w:t>
      </w:r>
      <w:proofErr w:type="spellEnd"/>
      <w:r>
        <w:rPr>
          <w:rFonts w:ascii="Calibri" w:eastAsia="Calibri" w:hAnsi="Calibri" w:cs="Times New Roman"/>
        </w:rPr>
        <w:t xml:space="preserve"> oldalához képest mindig a "másik" oldalán lesz, amiből az következik, hogy az ICR egyenes MXC végpontja valamint az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és az 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csúcsok által meghatározott háromszögben nincs robbanékony gázelegy, ez tehát szűkebb értelemben vett </w:t>
      </w:r>
      <w:proofErr w:type="spellStart"/>
      <w:r>
        <w:rPr>
          <w:rFonts w:ascii="Calibri" w:eastAsia="Calibri" w:hAnsi="Calibri" w:cs="Times New Roman"/>
        </w:rPr>
        <w:t>robbanásbiztos</w:t>
      </w:r>
      <w:proofErr w:type="spellEnd"/>
      <w:r>
        <w:rPr>
          <w:rFonts w:ascii="Calibri" w:eastAsia="Calibri" w:hAnsi="Calibri" w:cs="Times New Roman"/>
        </w:rPr>
        <w:t xml:space="preserve"> terület.</w:t>
      </w:r>
    </w:p>
    <w:p w:rsidR="003D0A98" w:rsidRPr="00672D1F" w:rsidRDefault="003D0A98" w:rsidP="003D0A98">
      <w:pPr>
        <w:spacing w:before="120" w:after="80"/>
        <w:rPr>
          <w:rFonts w:ascii="Calibri" w:eastAsia="Calibri" w:hAnsi="Calibri" w:cs="Times New Roman"/>
          <w:b/>
          <w:sz w:val="28"/>
          <w:szCs w:val="28"/>
        </w:rPr>
      </w:pPr>
      <w:r w:rsidRPr="00672D1F">
        <w:rPr>
          <w:rFonts w:ascii="Calibri" w:eastAsia="Calibri" w:hAnsi="Calibri" w:cs="Times New Roman"/>
          <w:b/>
          <w:sz w:val="28"/>
          <w:szCs w:val="28"/>
        </w:rPr>
        <w:t xml:space="preserve">Minimális </w:t>
      </w:r>
      <w:proofErr w:type="spellStart"/>
      <w:r w:rsidRPr="00672D1F">
        <w:rPr>
          <w:rFonts w:ascii="Calibri" w:eastAsia="Calibri" w:hAnsi="Calibri" w:cs="Times New Roman"/>
          <w:b/>
          <w:sz w:val="28"/>
          <w:szCs w:val="28"/>
        </w:rPr>
        <w:t>inertgáz-oxidátor</w:t>
      </w:r>
      <w:proofErr w:type="spellEnd"/>
      <w:r w:rsidRPr="00672D1F">
        <w:rPr>
          <w:rFonts w:ascii="Calibri" w:eastAsia="Calibri" w:hAnsi="Calibri" w:cs="Times New Roman"/>
          <w:b/>
          <w:sz w:val="28"/>
          <w:szCs w:val="28"/>
        </w:rPr>
        <w:t xml:space="preserve"> arány (IAR)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Az ICR egyeneshez hasonló gondolatmenettel írható le az </w:t>
      </w:r>
      <w:r w:rsidRPr="00A86254">
        <w:rPr>
          <w:rFonts w:ascii="Calibri" w:eastAsia="Calibri" w:hAnsi="Calibri" w:cs="Times New Roman"/>
          <w:b/>
        </w:rPr>
        <w:t>IAR</w:t>
      </w:r>
      <w:r>
        <w:rPr>
          <w:rFonts w:ascii="Calibri" w:eastAsia="Calibri" w:hAnsi="Calibri" w:cs="Times New Roman"/>
        </w:rPr>
        <w:t xml:space="preserve"> (Inert </w:t>
      </w:r>
      <w:proofErr w:type="spellStart"/>
      <w:r>
        <w:rPr>
          <w:rFonts w:ascii="Calibri" w:eastAsia="Calibri" w:hAnsi="Calibri" w:cs="Times New Roman"/>
        </w:rPr>
        <w:t>gas</w:t>
      </w:r>
      <w:proofErr w:type="spellEnd"/>
      <w:r>
        <w:rPr>
          <w:rFonts w:ascii="Calibri" w:eastAsia="Calibri" w:hAnsi="Calibri" w:cs="Times New Roman"/>
        </w:rPr>
        <w:t>/Air (</w:t>
      </w:r>
      <w:proofErr w:type="spellStart"/>
      <w:r>
        <w:rPr>
          <w:rFonts w:ascii="Calibri" w:eastAsia="Calibri" w:hAnsi="Calibri" w:cs="Times New Roman"/>
        </w:rPr>
        <w:t>oxidator</w:t>
      </w:r>
      <w:proofErr w:type="spellEnd"/>
      <w:r>
        <w:rPr>
          <w:rFonts w:ascii="Calibri" w:eastAsia="Calibri" w:hAnsi="Calibri" w:cs="Times New Roman"/>
        </w:rPr>
        <w:t>) Ratio) vonal. Ez az egyenes az alábbi értelemben jelent határt az éghetőgáz/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>/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rendszerben: az ezen az egyenesen kívül eső (az ábra szerinti tengely elhelyezkedés esetén az </w:t>
      </w:r>
      <w:r w:rsidRPr="0028011F">
        <w:rPr>
          <w:rFonts w:ascii="Calibri" w:eastAsia="Calibri" w:hAnsi="Calibri" w:cs="Times New Roman"/>
          <w:b/>
        </w:rPr>
        <w:t xml:space="preserve">egyenestől </w:t>
      </w:r>
      <w:r w:rsidRPr="0028011F">
        <w:rPr>
          <w:rFonts w:ascii="Calibri" w:eastAsia="Calibri" w:hAnsi="Calibri" w:cs="Times New Roman"/>
          <w:b/>
          <w:i/>
        </w:rPr>
        <w:t>jobbra</w:t>
      </w:r>
      <w:r w:rsidRPr="0028011F">
        <w:rPr>
          <w:rFonts w:ascii="Calibri" w:eastAsia="Calibri" w:hAnsi="Calibri" w:cs="Times New Roman"/>
          <w:b/>
        </w:rPr>
        <w:t xml:space="preserve"> eső) koncentráció értékeknél</w:t>
      </w:r>
      <w:r>
        <w:rPr>
          <w:rFonts w:ascii="Calibri" w:eastAsia="Calibri" w:hAnsi="Calibri" w:cs="Times New Roman"/>
        </w:rPr>
        <w:t xml:space="preserve"> </w:t>
      </w:r>
      <w:r w:rsidRPr="00A86254">
        <w:rPr>
          <w:rFonts w:ascii="Calibri" w:eastAsia="Calibri" w:hAnsi="Calibri" w:cs="Times New Roman"/>
          <w:b/>
        </w:rPr>
        <w:t xml:space="preserve">további </w:t>
      </w:r>
      <w:r w:rsidRPr="0028011F">
        <w:rPr>
          <w:rFonts w:ascii="Calibri" w:eastAsia="Calibri" w:hAnsi="Calibri" w:cs="Times New Roman"/>
          <w:b/>
          <w:i/>
        </w:rPr>
        <w:t>éghetőgáz</w:t>
      </w:r>
      <w:r w:rsidRPr="00A86254">
        <w:rPr>
          <w:rFonts w:ascii="Calibri" w:eastAsia="Calibri" w:hAnsi="Calibri" w:cs="Times New Roman"/>
          <w:b/>
        </w:rPr>
        <w:t xml:space="preserve"> hozzáadása</w:t>
      </w:r>
      <w:r>
        <w:rPr>
          <w:rFonts w:ascii="Calibri" w:eastAsia="Calibri" w:hAnsi="Calibri" w:cs="Times New Roman"/>
        </w:rPr>
        <w:t xml:space="preserve"> </w:t>
      </w:r>
      <w:r w:rsidRPr="00A86254">
        <w:rPr>
          <w:rFonts w:ascii="Calibri" w:eastAsia="Calibri" w:hAnsi="Calibri" w:cs="Times New Roman"/>
          <w:b/>
        </w:rPr>
        <w:t>már nem okozhat robbanást</w:t>
      </w:r>
      <w:r>
        <w:rPr>
          <w:rFonts w:ascii="Calibri" w:eastAsia="Calibri" w:hAnsi="Calibri" w:cs="Times New Roman"/>
        </w:rPr>
        <w:t xml:space="preserve">. 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Az IAR vonal a robbanáshatár-görbe fordulópontján és az éghetőgáz csúcsponton keresztül haladó egyenes.</w:t>
      </w:r>
    </w:p>
    <w:p w:rsidR="003D0A98" w:rsidRPr="00672D1F" w:rsidRDefault="003D0A98" w:rsidP="003D0A98">
      <w:pPr>
        <w:spacing w:before="120" w:after="80"/>
        <w:rPr>
          <w:rFonts w:ascii="Calibri" w:eastAsia="Calibri" w:hAnsi="Calibri" w:cs="Times New Roman"/>
          <w:b/>
          <w:sz w:val="28"/>
          <w:szCs w:val="28"/>
        </w:rPr>
      </w:pPr>
      <w:r w:rsidRPr="00672D1F">
        <w:rPr>
          <w:rFonts w:ascii="Calibri" w:eastAsia="Calibri" w:hAnsi="Calibri" w:cs="Times New Roman"/>
          <w:b/>
          <w:sz w:val="28"/>
          <w:szCs w:val="28"/>
        </w:rPr>
        <w:t xml:space="preserve">Minimálisan szükséges </w:t>
      </w:r>
      <w:proofErr w:type="spellStart"/>
      <w:r w:rsidRPr="00672D1F">
        <w:rPr>
          <w:rFonts w:ascii="Calibri" w:eastAsia="Calibri" w:hAnsi="Calibri" w:cs="Times New Roman"/>
          <w:b/>
          <w:sz w:val="28"/>
          <w:szCs w:val="28"/>
        </w:rPr>
        <w:t>inertgáz</w:t>
      </w:r>
      <w:proofErr w:type="spellEnd"/>
      <w:r w:rsidRPr="00672D1F">
        <w:rPr>
          <w:rFonts w:ascii="Calibri" w:eastAsia="Calibri" w:hAnsi="Calibri" w:cs="Times New Roman"/>
          <w:b/>
          <w:sz w:val="28"/>
          <w:szCs w:val="28"/>
        </w:rPr>
        <w:t xml:space="preserve"> (MAI)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Az MAI (Maximum </w:t>
      </w:r>
      <w:proofErr w:type="spellStart"/>
      <w:r>
        <w:rPr>
          <w:rFonts w:ascii="Calibri" w:eastAsia="Calibri" w:hAnsi="Calibri" w:cs="Times New Roman"/>
        </w:rPr>
        <w:t>Air-Inert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gas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Concentration</w:t>
      </w:r>
      <w:proofErr w:type="spellEnd"/>
      <w:r>
        <w:rPr>
          <w:rFonts w:ascii="Calibri" w:eastAsia="Calibri" w:hAnsi="Calibri" w:cs="Times New Roman"/>
        </w:rPr>
        <w:t xml:space="preserve">) érték az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>/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 keveréknek azon minimális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koncentrációja, amelyhez további éghetőgáz hozzáadása már nem okozhat robbanást. Az MXC ponthoz hasonlóan, ennek meghatározásához az IAR vonalat kell meghosszabbítani egészen az </w:t>
      </w:r>
      <w:proofErr w:type="spellStart"/>
      <w:r>
        <w:rPr>
          <w:rFonts w:ascii="Calibri" w:eastAsia="Calibri" w:hAnsi="Calibri" w:cs="Times New Roman"/>
        </w:rPr>
        <w:t>oxidátor-inertgáz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biner</w:t>
      </w:r>
      <w:proofErr w:type="spellEnd"/>
      <w:r>
        <w:rPr>
          <w:rFonts w:ascii="Calibri" w:eastAsia="Calibri" w:hAnsi="Calibri" w:cs="Times New Roman"/>
        </w:rPr>
        <w:t xml:space="preserve"> oldalig, a kettő metszéspontja adja a minimálisan szükséges </w:t>
      </w:r>
      <w:proofErr w:type="spellStart"/>
      <w:r>
        <w:rPr>
          <w:rFonts w:ascii="Calibri" w:eastAsia="Calibri" w:hAnsi="Calibri" w:cs="Times New Roman"/>
        </w:rPr>
        <w:t>inertgáz</w:t>
      </w:r>
      <w:proofErr w:type="spellEnd"/>
      <w:r>
        <w:rPr>
          <w:rFonts w:ascii="Calibri" w:eastAsia="Calibri" w:hAnsi="Calibri" w:cs="Times New Roman"/>
        </w:rPr>
        <w:t xml:space="preserve"> értéket.</w:t>
      </w:r>
    </w:p>
    <w:p w:rsidR="003D0A98" w:rsidRPr="00672D1F" w:rsidRDefault="003D0A98" w:rsidP="003D0A98">
      <w:pPr>
        <w:spacing w:before="120" w:after="80"/>
        <w:rPr>
          <w:rFonts w:ascii="Calibri" w:eastAsia="Calibri" w:hAnsi="Calibri" w:cs="Times New Roman"/>
          <w:b/>
          <w:sz w:val="28"/>
          <w:szCs w:val="28"/>
        </w:rPr>
      </w:pPr>
      <w:r w:rsidRPr="00672D1F">
        <w:rPr>
          <w:rFonts w:ascii="Calibri" w:eastAsia="Calibri" w:hAnsi="Calibri" w:cs="Times New Roman"/>
          <w:b/>
          <w:sz w:val="28"/>
          <w:szCs w:val="28"/>
        </w:rPr>
        <w:t xml:space="preserve">Maximális oxigén (vagy </w:t>
      </w:r>
      <w:proofErr w:type="spellStart"/>
      <w:r w:rsidRPr="00672D1F">
        <w:rPr>
          <w:rFonts w:ascii="Calibri" w:eastAsia="Calibri" w:hAnsi="Calibri" w:cs="Times New Roman"/>
          <w:b/>
          <w:sz w:val="28"/>
          <w:szCs w:val="28"/>
        </w:rPr>
        <w:t>oxidátor</w:t>
      </w:r>
      <w:proofErr w:type="spellEnd"/>
      <w:r w:rsidRPr="00672D1F">
        <w:rPr>
          <w:rFonts w:ascii="Calibri" w:eastAsia="Calibri" w:hAnsi="Calibri" w:cs="Times New Roman"/>
          <w:b/>
          <w:sz w:val="28"/>
          <w:szCs w:val="28"/>
        </w:rPr>
        <w:t>) tartalom (MOC vagy LOC)</w:t>
      </w:r>
    </w:p>
    <w:p w:rsidR="003D0A98" w:rsidRDefault="003D0A98" w:rsidP="003D0A98">
      <w:pPr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Az MOC (Maximum </w:t>
      </w:r>
      <w:proofErr w:type="spellStart"/>
      <w:r>
        <w:rPr>
          <w:rFonts w:ascii="Calibri" w:eastAsia="Calibri" w:hAnsi="Calibri" w:cs="Times New Roman"/>
        </w:rPr>
        <w:t>Oxygen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Concentration</w:t>
      </w:r>
      <w:proofErr w:type="spellEnd"/>
      <w:r>
        <w:rPr>
          <w:rFonts w:ascii="Calibri" w:eastAsia="Calibri" w:hAnsi="Calibri" w:cs="Times New Roman"/>
        </w:rPr>
        <w:t xml:space="preserve">) vagy a szintén elterjedten használt LOC (Limiting </w:t>
      </w:r>
      <w:proofErr w:type="spellStart"/>
      <w:r>
        <w:rPr>
          <w:rFonts w:ascii="Calibri" w:eastAsia="Calibri" w:hAnsi="Calibri" w:cs="Times New Roman"/>
        </w:rPr>
        <w:t>Oxygen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Concentration</w:t>
      </w:r>
      <w:proofErr w:type="spellEnd"/>
      <w:r>
        <w:rPr>
          <w:rFonts w:ascii="Calibri" w:eastAsia="Calibri" w:hAnsi="Calibri" w:cs="Times New Roman"/>
        </w:rPr>
        <w:t>) elnevezés a háromkomponensű rendszer azon maximális oxigén (</w:t>
      </w:r>
      <w:proofErr w:type="spellStart"/>
      <w:r>
        <w:rPr>
          <w:rFonts w:ascii="Calibri" w:eastAsia="Calibri" w:hAnsi="Calibri" w:cs="Times New Roman"/>
        </w:rPr>
        <w:t>oxidátor</w:t>
      </w:r>
      <w:proofErr w:type="spellEnd"/>
      <w:r>
        <w:rPr>
          <w:rFonts w:ascii="Calibri" w:eastAsia="Calibri" w:hAnsi="Calibri" w:cs="Times New Roman"/>
        </w:rPr>
        <w:t xml:space="preserve">) koncentrációját jelöli, amelyhez további éghetőgáz hozzáadása már nem okozhat robbanást. Meghatározásakor a robbanáshatár-görbéhez a háromszög éghetőgáz-inertgáz </w:t>
      </w:r>
      <w:proofErr w:type="spellStart"/>
      <w:r>
        <w:rPr>
          <w:rFonts w:ascii="Calibri" w:eastAsia="Calibri" w:hAnsi="Calibri" w:cs="Times New Roman"/>
        </w:rPr>
        <w:t>biner</w:t>
      </w:r>
      <w:proofErr w:type="spellEnd"/>
      <w:r>
        <w:rPr>
          <w:rFonts w:ascii="Calibri" w:eastAsia="Calibri" w:hAnsi="Calibri" w:cs="Times New Roman"/>
        </w:rPr>
        <w:t xml:space="preserve"> oldalával párhuzamos érintőt rajzoljuk be.</w:t>
      </w:r>
    </w:p>
    <w:p w:rsidR="00B31F6C" w:rsidRDefault="00B31F6C"/>
    <w:sectPr w:rsidR="00B31F6C" w:rsidSect="00B31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5FF"/>
    <w:multiLevelType w:val="multilevel"/>
    <w:tmpl w:val="CB30786E"/>
    <w:styleLink w:val="MKstilus"/>
    <w:lvl w:ilvl="0">
      <w:start w:val="1"/>
      <w:numFmt w:val="decimal"/>
      <w:lvlText w:val="MK-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MK-%2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578015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">
    <w:nsid w:val="77013F56"/>
    <w:multiLevelType w:val="hybridMultilevel"/>
    <w:tmpl w:val="3B58FC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0A98"/>
    <w:rsid w:val="000551A5"/>
    <w:rsid w:val="000F53BD"/>
    <w:rsid w:val="00145904"/>
    <w:rsid w:val="00190DCE"/>
    <w:rsid w:val="003541A9"/>
    <w:rsid w:val="003D0A98"/>
    <w:rsid w:val="00706BE7"/>
    <w:rsid w:val="0074733D"/>
    <w:rsid w:val="008701E0"/>
    <w:rsid w:val="00935FFB"/>
    <w:rsid w:val="00972D1F"/>
    <w:rsid w:val="00974890"/>
    <w:rsid w:val="00A33F80"/>
    <w:rsid w:val="00B31F6C"/>
    <w:rsid w:val="00B64669"/>
    <w:rsid w:val="00D06BB7"/>
    <w:rsid w:val="00E74115"/>
    <w:rsid w:val="00F24C7E"/>
    <w:rsid w:val="00FF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0A98"/>
  </w:style>
  <w:style w:type="paragraph" w:styleId="Cmsor1">
    <w:name w:val="heading 1"/>
    <w:basedOn w:val="Norml"/>
    <w:next w:val="Norml"/>
    <w:link w:val="Cmsor1Char"/>
    <w:uiPriority w:val="9"/>
    <w:qFormat/>
    <w:rsid w:val="003D0A98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D0A9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0A9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0A9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0A9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0A9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0A9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0A9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0A9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MKstilus">
    <w:name w:val="MK_stilus"/>
    <w:uiPriority w:val="99"/>
    <w:rsid w:val="00FF5B28"/>
    <w:pPr>
      <w:numPr>
        <w:numId w:val="1"/>
      </w:numPr>
    </w:pPr>
  </w:style>
  <w:style w:type="character" w:customStyle="1" w:styleId="Cmsor1Char">
    <w:name w:val="Címsor 1 Char"/>
    <w:basedOn w:val="Bekezdsalapbettpusa"/>
    <w:link w:val="Cmsor1"/>
    <w:uiPriority w:val="9"/>
    <w:rsid w:val="003D0A9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3D0A9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0A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0A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0A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0A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0A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0A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0A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qFormat/>
    <w:rsid w:val="003D0A98"/>
    <w:pPr>
      <w:spacing w:after="24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0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0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753</Words>
  <Characters>5197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BME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khk</dc:creator>
  <cp:keywords/>
  <dc:description/>
  <cp:lastModifiedBy>khk</cp:lastModifiedBy>
  <cp:revision>2</cp:revision>
  <dcterms:created xsi:type="dcterms:W3CDTF">2011-11-03T17:15:00Z</dcterms:created>
  <dcterms:modified xsi:type="dcterms:W3CDTF">2011-11-04T16:46:00Z</dcterms:modified>
</cp:coreProperties>
</file>